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7A" w:rsidRPr="0065407A" w:rsidRDefault="0065407A" w:rsidP="00747AD1">
      <w:pPr>
        <w:widowControl/>
        <w:shd w:val="clear" w:color="auto" w:fill="FFFFFF"/>
        <w:spacing w:after="240"/>
        <w:ind w:firstLineChars="150" w:firstLine="315"/>
        <w:jc w:val="left"/>
        <w:rPr>
          <w:rFonts w:asciiTheme="majorEastAsia" w:eastAsiaTheme="majorEastAsia" w:hAnsiTheme="majorEastAsia" w:cs="Arial"/>
          <w:color w:val="444444"/>
          <w:kern w:val="0"/>
          <w:szCs w:val="21"/>
        </w:rPr>
      </w:pPr>
      <w:r w:rsidRPr="0065407A">
        <w:rPr>
          <w:rFonts w:asciiTheme="majorEastAsia" w:eastAsiaTheme="majorEastAsia" w:hAnsiTheme="majorEastAsia" w:cs="Arial"/>
          <w:color w:val="444444"/>
          <w:kern w:val="0"/>
          <w:szCs w:val="21"/>
        </w:rPr>
        <w:t>E8257D PSG模拟信号发生器提供业内领先的输出功率、电平精度、以及高达67 GHz（操作时可达70 GHz）相位噪声性能。PSG模拟信号发生器所具有的高输出功率和优良的电平精度使用户无需安装测试大功率设备的外置放大器，并能将测试的不确定性减至最小，从而及早发现设计过程中的错误。同时，该产品还拥有全球独一无二的相位噪声性能（10 GHz 载波和10 kHz 偏移时，典型值 -116 dBc/Hz），是进行本机振荡器、低抖动时钟替代和相邻信道测试的理想选择。在对先进的射频和微波雷达、通信以及控制系统进行测试时，PSG模拟信号发生器还可出色地满足您的性能要求。</w:t>
      </w:r>
    </w:p>
    <w:p w:rsidR="0065407A" w:rsidRPr="0065407A" w:rsidRDefault="0065407A" w:rsidP="0065407A">
      <w:pPr>
        <w:widowControl/>
        <w:shd w:val="clear" w:color="auto" w:fill="FFFFFF"/>
        <w:spacing w:before="300" w:after="120"/>
        <w:jc w:val="left"/>
        <w:outlineLvl w:val="2"/>
        <w:rPr>
          <w:rFonts w:asciiTheme="majorEastAsia" w:eastAsiaTheme="majorEastAsia" w:hAnsiTheme="majorEastAsia" w:cs="Arial"/>
          <w:b/>
          <w:bCs/>
          <w:color w:val="444444"/>
          <w:kern w:val="0"/>
          <w:sz w:val="24"/>
          <w:szCs w:val="24"/>
        </w:rPr>
      </w:pPr>
      <w:r w:rsidRPr="0065407A">
        <w:rPr>
          <w:rFonts w:asciiTheme="majorEastAsia" w:eastAsiaTheme="majorEastAsia" w:hAnsiTheme="majorEastAsia" w:cs="Arial"/>
          <w:b/>
          <w:bCs/>
          <w:color w:val="444444"/>
          <w:kern w:val="0"/>
          <w:sz w:val="24"/>
          <w:szCs w:val="24"/>
        </w:rPr>
        <w:t>模块化微波信号发生器平台－可有选择性添加AM、FM、ØM和/或脉冲</w:t>
      </w:r>
    </w:p>
    <w:p w:rsidR="0065407A" w:rsidRPr="0065407A" w:rsidRDefault="0065407A" w:rsidP="00747AD1">
      <w:pPr>
        <w:widowControl/>
        <w:shd w:val="clear" w:color="auto" w:fill="FFFFFF"/>
        <w:ind w:firstLineChars="150" w:firstLine="315"/>
        <w:jc w:val="left"/>
        <w:rPr>
          <w:rFonts w:asciiTheme="majorEastAsia" w:eastAsiaTheme="majorEastAsia" w:hAnsiTheme="majorEastAsia" w:cs="Arial"/>
          <w:color w:val="444444"/>
          <w:kern w:val="0"/>
          <w:szCs w:val="21"/>
        </w:rPr>
      </w:pPr>
      <w:r w:rsidRPr="0065407A">
        <w:rPr>
          <w:rFonts w:asciiTheme="majorEastAsia" w:eastAsiaTheme="majorEastAsia" w:hAnsiTheme="majorEastAsia" w:cs="Arial"/>
          <w:color w:val="444444"/>
          <w:kern w:val="0"/>
          <w:szCs w:val="21"/>
        </w:rPr>
        <w:t>该平台可为本振（LO）替代或扫描激励响应分析生成连续波(CW)信号。它还可以有选择性地添加AM、FM、ØM和/或脉冲调制，来精确地描述射</w:t>
      </w:r>
      <w:r w:rsidR="00747AD1" w:rsidRPr="00747AD1">
        <w:rPr>
          <w:rFonts w:asciiTheme="majorEastAsia" w:eastAsiaTheme="majorEastAsia" w:hAnsiTheme="majorEastAsia" w:cs="Arial"/>
          <w:color w:val="444444"/>
          <w:kern w:val="0"/>
          <w:szCs w:val="21"/>
        </w:rPr>
        <w:t>频和微波元器件及设备。同时，可以通过一些性能增强选件来配置符合</w:t>
      </w:r>
      <w:r w:rsidRPr="0065407A">
        <w:rPr>
          <w:rFonts w:asciiTheme="majorEastAsia" w:eastAsiaTheme="majorEastAsia" w:hAnsiTheme="majorEastAsia" w:cs="Arial"/>
          <w:color w:val="444444"/>
          <w:kern w:val="0"/>
          <w:szCs w:val="21"/>
        </w:rPr>
        <w:t>特定测试需求的信号发生器。还可以为当前的射频和微波测试应用软件定制PSG，以便以后可以随着您需求的变化轻松实现升级。</w:t>
      </w:r>
    </w:p>
    <w:p w:rsidR="00747AD1" w:rsidRPr="00747AD1" w:rsidRDefault="00747AD1" w:rsidP="00EF69A0">
      <w:pPr>
        <w:rPr>
          <w:rFonts w:asciiTheme="majorEastAsia" w:eastAsiaTheme="majorEastAsia" w:hAnsiTheme="majorEastAsia" w:hint="eastAsia"/>
        </w:rPr>
      </w:pPr>
    </w:p>
    <w:p w:rsidR="00747AD1" w:rsidRPr="00747AD1" w:rsidRDefault="00EF69A0" w:rsidP="00B95EF7">
      <w:pPr>
        <w:spacing w:beforeLines="300" w:afterLines="100"/>
        <w:ind w:leftChars="800" w:left="1680"/>
        <w:rPr>
          <w:rFonts w:asciiTheme="majorEastAsia" w:eastAsiaTheme="majorEastAsia" w:hAnsiTheme="majorEastAsia" w:hint="eastAsia"/>
          <w:b/>
          <w:sz w:val="24"/>
          <w:szCs w:val="24"/>
        </w:rPr>
      </w:pPr>
      <w:r w:rsidRPr="00747AD1">
        <w:rPr>
          <w:rFonts w:asciiTheme="majorEastAsia" w:eastAsiaTheme="majorEastAsia" w:hAnsiTheme="majorEastAsia" w:hint="eastAsia"/>
          <w:b/>
          <w:sz w:val="24"/>
          <w:szCs w:val="24"/>
        </w:rPr>
        <w:t xml:space="preserve">主要特性与技术指标 </w:t>
      </w:r>
      <w:r w:rsidR="00747AD1">
        <w:rPr>
          <w:rFonts w:asciiTheme="majorEastAsia" w:eastAsiaTheme="majorEastAsia" w:hAnsiTheme="majorEastAsia" w:hint="eastAsia"/>
          <w:b/>
          <w:sz w:val="24"/>
          <w:szCs w:val="24"/>
        </w:rPr>
        <w:t>:</w:t>
      </w:r>
    </w:p>
    <w:p w:rsidR="00EF69A0" w:rsidRPr="00747AD1" w:rsidRDefault="00EF69A0" w:rsidP="00747AD1">
      <w:pPr>
        <w:spacing w:beforeLines="100" w:afterLines="50"/>
        <w:ind w:leftChars="1000" w:left="2100"/>
        <w:rPr>
          <w:rFonts w:asciiTheme="majorEastAsia" w:eastAsiaTheme="majorEastAsia" w:hAnsiTheme="majorEastAsia" w:hint="eastAsia"/>
          <w:b/>
        </w:rPr>
      </w:pPr>
      <w:r w:rsidRPr="00747AD1">
        <w:rPr>
          <w:rFonts w:asciiTheme="majorEastAsia" w:eastAsiaTheme="majorEastAsia" w:hAnsiTheme="majorEastAsia" w:hint="eastAsia"/>
          <w:b/>
        </w:rPr>
        <w:t>信号特征</w:t>
      </w:r>
      <w:r w:rsidR="00B95EF7">
        <w:rPr>
          <w:rFonts w:asciiTheme="majorEastAsia" w:eastAsiaTheme="majorEastAsia" w:hAnsiTheme="majorEastAsia" w:hint="eastAsia"/>
          <w:b/>
        </w:rPr>
        <w:t>：</w:t>
      </w:r>
    </w:p>
    <w:p w:rsidR="00EF69A0" w:rsidRPr="00747AD1" w:rsidRDefault="00EF69A0" w:rsidP="00747AD1">
      <w:pPr>
        <w:spacing w:beforeLines="50"/>
        <w:ind w:leftChars="1100" w:left="2310"/>
        <w:rPr>
          <w:rFonts w:asciiTheme="majorEastAsia" w:eastAsiaTheme="majorEastAsia" w:hAnsiTheme="majorEastAsia" w:hint="eastAsia"/>
        </w:rPr>
      </w:pPr>
      <w:r w:rsidRPr="00747AD1">
        <w:rPr>
          <w:rFonts w:asciiTheme="majorEastAsia" w:eastAsiaTheme="majorEastAsia" w:hAnsiTheme="majorEastAsia" w:hint="eastAsia"/>
        </w:rPr>
        <w:t>•250 kHz至20、31.8、40、50或67 GHz，工作时可达70 GHz（0.001 Hz分辨率），10 MHz 到 20 GHz (仅适用于选件521)</w:t>
      </w:r>
    </w:p>
    <w:p w:rsidR="00EF69A0" w:rsidRPr="00747AD1" w:rsidRDefault="00EF69A0" w:rsidP="00747AD1">
      <w:pPr>
        <w:spacing w:beforeLines="50"/>
        <w:ind w:leftChars="1100" w:left="2310"/>
        <w:rPr>
          <w:rFonts w:asciiTheme="majorEastAsia" w:eastAsiaTheme="majorEastAsia" w:hAnsiTheme="majorEastAsia" w:hint="eastAsia"/>
        </w:rPr>
      </w:pPr>
      <w:r w:rsidRPr="00747AD1">
        <w:rPr>
          <w:rFonts w:asciiTheme="majorEastAsia" w:eastAsiaTheme="majorEastAsia" w:hAnsiTheme="majorEastAsia" w:hint="eastAsia"/>
        </w:rPr>
        <w:t>•可扩展至75、90、110、140、170、220, 325, 或500 GHz―― 毫米波模块</w:t>
      </w:r>
    </w:p>
    <w:p w:rsidR="00EF69A0" w:rsidRPr="00747AD1" w:rsidRDefault="00EF69A0" w:rsidP="00747AD1">
      <w:pPr>
        <w:spacing w:beforeLines="50"/>
        <w:ind w:leftChars="1100" w:left="2310"/>
        <w:rPr>
          <w:rFonts w:asciiTheme="majorEastAsia" w:eastAsiaTheme="majorEastAsia" w:hAnsiTheme="majorEastAsia" w:hint="eastAsia"/>
        </w:rPr>
      </w:pPr>
      <w:r w:rsidRPr="00747AD1">
        <w:rPr>
          <w:rFonts w:asciiTheme="majorEastAsia" w:eastAsiaTheme="majorEastAsia" w:hAnsiTheme="majorEastAsia" w:hint="eastAsia"/>
        </w:rPr>
        <w:t>•+23 dBm @ 20 GHz、+17dBm @ 40 GHz、+14 dBm @ 67 GHz输出功率（典型值）； 选件 521 可达 +30 dBm 以上（典型值）</w:t>
      </w:r>
    </w:p>
    <w:p w:rsidR="00747AD1" w:rsidRDefault="00EF69A0" w:rsidP="00747AD1">
      <w:pPr>
        <w:spacing w:beforeLines="50"/>
        <w:ind w:leftChars="1100" w:left="2310"/>
        <w:rPr>
          <w:rFonts w:asciiTheme="majorEastAsia" w:eastAsiaTheme="majorEastAsia" w:hAnsiTheme="majorEastAsia" w:hint="eastAsia"/>
        </w:rPr>
      </w:pPr>
      <w:r w:rsidRPr="00747AD1">
        <w:rPr>
          <w:rFonts w:asciiTheme="majorEastAsia" w:eastAsiaTheme="majorEastAsia" w:hAnsiTheme="majorEastAsia" w:hint="eastAsia"/>
        </w:rPr>
        <w:t>•业界最佳SSB相位噪声―― 选件UNX</w:t>
      </w:r>
    </w:p>
    <w:p w:rsidR="00EF69A0" w:rsidRPr="00747AD1" w:rsidRDefault="00EF69A0" w:rsidP="00747AD1">
      <w:pPr>
        <w:spacing w:beforeLines="100" w:afterLines="50"/>
        <w:ind w:leftChars="1000" w:left="2100"/>
        <w:rPr>
          <w:rFonts w:asciiTheme="majorEastAsia" w:eastAsiaTheme="majorEastAsia" w:hAnsiTheme="majorEastAsia" w:hint="eastAsia"/>
          <w:b/>
        </w:rPr>
      </w:pPr>
      <w:r w:rsidRPr="00747AD1">
        <w:rPr>
          <w:rFonts w:asciiTheme="majorEastAsia" w:eastAsiaTheme="majorEastAsia" w:hAnsiTheme="majorEastAsia" w:hint="eastAsia"/>
          <w:b/>
        </w:rPr>
        <w:t>调制</w:t>
      </w:r>
      <w:r w:rsidR="00B95EF7">
        <w:rPr>
          <w:rFonts w:asciiTheme="majorEastAsia" w:eastAsiaTheme="majorEastAsia" w:hAnsiTheme="majorEastAsia" w:hint="eastAsia"/>
          <w:b/>
        </w:rPr>
        <w:t>:</w:t>
      </w:r>
    </w:p>
    <w:p w:rsidR="00EF69A0" w:rsidRPr="00747AD1" w:rsidRDefault="00EF69A0" w:rsidP="00747AD1">
      <w:pPr>
        <w:spacing w:beforeLines="50"/>
        <w:ind w:leftChars="1100" w:left="2310"/>
        <w:rPr>
          <w:rFonts w:asciiTheme="majorEastAsia" w:eastAsiaTheme="majorEastAsia" w:hAnsiTheme="majorEastAsia" w:hint="eastAsia"/>
        </w:rPr>
      </w:pPr>
      <w:r w:rsidRPr="00747AD1">
        <w:rPr>
          <w:rFonts w:asciiTheme="majorEastAsia" w:eastAsiaTheme="majorEastAsia" w:hAnsiTheme="majorEastAsia" w:hint="eastAsia"/>
        </w:rPr>
        <w:t>•AM、FM、ØM、脉冲和扫描</w:t>
      </w:r>
    </w:p>
    <w:p w:rsidR="00EF69A0" w:rsidRPr="00747AD1" w:rsidRDefault="00EF69A0" w:rsidP="00747AD1">
      <w:pPr>
        <w:spacing w:beforeLines="50"/>
        <w:ind w:leftChars="1100" w:left="2310"/>
        <w:rPr>
          <w:rFonts w:asciiTheme="majorEastAsia" w:eastAsiaTheme="majorEastAsia" w:hAnsiTheme="majorEastAsia" w:hint="eastAsia"/>
        </w:rPr>
      </w:pPr>
      <w:r w:rsidRPr="00747AD1">
        <w:rPr>
          <w:rFonts w:asciiTheme="majorEastAsia" w:eastAsiaTheme="majorEastAsia" w:hAnsiTheme="majorEastAsia" w:hint="eastAsia"/>
        </w:rPr>
        <w:lastRenderedPageBreak/>
        <w:t>•8 ns上升/下降时间和20 ns脉冲宽度（典型值）</w:t>
      </w:r>
    </w:p>
    <w:p w:rsidR="00747AD1" w:rsidRDefault="00EF69A0" w:rsidP="00747AD1">
      <w:pPr>
        <w:spacing w:beforeLines="50"/>
        <w:ind w:leftChars="1100" w:left="2310"/>
        <w:rPr>
          <w:rFonts w:asciiTheme="majorEastAsia" w:eastAsiaTheme="majorEastAsia" w:hAnsiTheme="majorEastAsia" w:hint="eastAsia"/>
        </w:rPr>
      </w:pPr>
      <w:r w:rsidRPr="00747AD1">
        <w:rPr>
          <w:rFonts w:asciiTheme="majorEastAsia" w:eastAsiaTheme="majorEastAsia" w:hAnsiTheme="majorEastAsia" w:hint="eastAsia"/>
        </w:rPr>
        <w:t>•两个内置函数发生器：正弦波、方波、三角波、斜波和噪声</w:t>
      </w:r>
    </w:p>
    <w:p w:rsidR="00EF69A0" w:rsidRPr="00747AD1" w:rsidRDefault="00EF69A0" w:rsidP="00747AD1">
      <w:pPr>
        <w:spacing w:beforeLines="100" w:afterLines="50"/>
        <w:ind w:leftChars="1000" w:left="2100"/>
        <w:rPr>
          <w:rFonts w:asciiTheme="majorEastAsia" w:eastAsiaTheme="majorEastAsia" w:hAnsiTheme="majorEastAsia" w:hint="eastAsia"/>
          <w:b/>
        </w:rPr>
      </w:pPr>
      <w:r w:rsidRPr="00747AD1">
        <w:rPr>
          <w:rFonts w:asciiTheme="majorEastAsia" w:eastAsiaTheme="majorEastAsia" w:hAnsiTheme="majorEastAsia" w:hint="eastAsia"/>
          <w:b/>
        </w:rPr>
        <w:t>扫描</w:t>
      </w:r>
      <w:r w:rsidR="00B95EF7">
        <w:rPr>
          <w:rFonts w:asciiTheme="majorEastAsia" w:eastAsiaTheme="majorEastAsia" w:hAnsiTheme="majorEastAsia" w:hint="eastAsia"/>
          <w:b/>
        </w:rPr>
        <w:t>:</w:t>
      </w:r>
    </w:p>
    <w:p w:rsidR="00EF69A0" w:rsidRPr="00747AD1" w:rsidRDefault="00EF69A0" w:rsidP="00747AD1">
      <w:pPr>
        <w:spacing w:beforeLines="50"/>
        <w:ind w:leftChars="1100" w:left="2310"/>
        <w:rPr>
          <w:rFonts w:asciiTheme="majorEastAsia" w:eastAsiaTheme="majorEastAsia" w:hAnsiTheme="majorEastAsia" w:hint="eastAsia"/>
        </w:rPr>
      </w:pPr>
      <w:r w:rsidRPr="00747AD1">
        <w:rPr>
          <w:rFonts w:asciiTheme="majorEastAsia" w:eastAsiaTheme="majorEastAsia" w:hAnsiTheme="majorEastAsia" w:hint="eastAsia"/>
        </w:rPr>
        <w:t>•步进扫描、列表扫描和斜波扫描（频率和功率）</w:t>
      </w:r>
    </w:p>
    <w:p w:rsidR="00EF69A0" w:rsidRPr="00747AD1" w:rsidRDefault="00EF69A0" w:rsidP="00747AD1">
      <w:pPr>
        <w:spacing w:beforeLines="50"/>
        <w:ind w:leftChars="1100" w:left="2310"/>
        <w:rPr>
          <w:rFonts w:asciiTheme="majorEastAsia" w:eastAsiaTheme="majorEastAsia" w:hAnsiTheme="majorEastAsia" w:hint="eastAsia"/>
        </w:rPr>
      </w:pPr>
      <w:r w:rsidRPr="00747AD1">
        <w:rPr>
          <w:rFonts w:asciiTheme="majorEastAsia" w:eastAsiaTheme="majorEastAsia" w:hAnsiTheme="majorEastAsia" w:hint="eastAsia"/>
        </w:rPr>
        <w:t>•使用PSA系列频谱分析仪控制信号源 PSA系列频谱分析仪</w:t>
      </w:r>
    </w:p>
    <w:p w:rsidR="00EF69A0" w:rsidRPr="00747AD1" w:rsidRDefault="00EF69A0" w:rsidP="00747AD1">
      <w:pPr>
        <w:spacing w:beforeLines="50"/>
        <w:ind w:leftChars="1100" w:left="2310"/>
        <w:rPr>
          <w:rFonts w:asciiTheme="majorEastAsia" w:eastAsiaTheme="majorEastAsia" w:hAnsiTheme="majorEastAsia" w:hint="eastAsia"/>
        </w:rPr>
      </w:pPr>
      <w:r w:rsidRPr="00747AD1">
        <w:rPr>
          <w:rFonts w:asciiTheme="majorEastAsia" w:eastAsiaTheme="majorEastAsia" w:hAnsiTheme="majorEastAsia" w:hint="eastAsia"/>
        </w:rPr>
        <w:t>•兼容Agilent 8757D标量网络分析仪代码</w:t>
      </w:r>
    </w:p>
    <w:p w:rsidR="00EF69A0" w:rsidRPr="00747AD1" w:rsidRDefault="00EF69A0" w:rsidP="00747AD1">
      <w:pPr>
        <w:spacing w:beforeLines="100" w:afterLines="50"/>
        <w:ind w:leftChars="1000" w:left="2100"/>
        <w:rPr>
          <w:rFonts w:asciiTheme="majorEastAsia" w:eastAsiaTheme="majorEastAsia" w:hAnsiTheme="majorEastAsia" w:hint="eastAsia"/>
          <w:b/>
        </w:rPr>
      </w:pPr>
      <w:r w:rsidRPr="00747AD1">
        <w:rPr>
          <w:rFonts w:asciiTheme="majorEastAsia" w:eastAsiaTheme="majorEastAsia" w:hAnsiTheme="majorEastAsia" w:hint="eastAsia"/>
          <w:b/>
        </w:rPr>
        <w:t>自动和通信接口</w:t>
      </w:r>
      <w:r w:rsidR="00B95EF7">
        <w:rPr>
          <w:rFonts w:asciiTheme="majorEastAsia" w:eastAsiaTheme="majorEastAsia" w:hAnsiTheme="majorEastAsia" w:hint="eastAsia"/>
          <w:b/>
        </w:rPr>
        <w:t>:</w:t>
      </w:r>
    </w:p>
    <w:p w:rsidR="00EF69A0" w:rsidRPr="00747AD1" w:rsidRDefault="00EF69A0" w:rsidP="00747AD1">
      <w:pPr>
        <w:spacing w:beforeLines="50"/>
        <w:ind w:leftChars="1300" w:left="2730"/>
        <w:rPr>
          <w:rFonts w:asciiTheme="majorEastAsia" w:eastAsiaTheme="majorEastAsia" w:hAnsiTheme="majorEastAsia" w:hint="eastAsia"/>
        </w:rPr>
      </w:pPr>
      <w:r w:rsidRPr="00747AD1">
        <w:rPr>
          <w:rFonts w:asciiTheme="majorEastAsia" w:eastAsiaTheme="majorEastAsia" w:hAnsiTheme="majorEastAsia" w:hint="eastAsia"/>
        </w:rPr>
        <w:t>•10BaseT LAN和GPIB</w:t>
      </w:r>
    </w:p>
    <w:p w:rsidR="00EF69A0" w:rsidRPr="00747AD1" w:rsidRDefault="00EF69A0" w:rsidP="00747AD1">
      <w:pPr>
        <w:spacing w:beforeLines="50"/>
        <w:ind w:leftChars="1300" w:left="2730"/>
        <w:rPr>
          <w:rFonts w:asciiTheme="majorEastAsia" w:eastAsiaTheme="majorEastAsia" w:hAnsiTheme="majorEastAsia" w:hint="eastAsia"/>
        </w:rPr>
      </w:pPr>
      <w:r w:rsidRPr="00747AD1">
        <w:rPr>
          <w:rFonts w:asciiTheme="majorEastAsia" w:eastAsiaTheme="majorEastAsia" w:hAnsiTheme="majorEastAsia" w:hint="eastAsia"/>
        </w:rPr>
        <w:t>•SCPI和IVI-COM驱动器</w:t>
      </w:r>
    </w:p>
    <w:p w:rsidR="00B95EF7" w:rsidRDefault="00EF69A0" w:rsidP="00B95EF7">
      <w:pPr>
        <w:spacing w:beforeLines="50" w:afterLines="300"/>
        <w:ind w:leftChars="1300" w:left="2730"/>
        <w:rPr>
          <w:rFonts w:asciiTheme="majorEastAsia" w:eastAsiaTheme="majorEastAsia" w:hAnsiTheme="majorEastAsia" w:hint="eastAsia"/>
        </w:rPr>
      </w:pPr>
      <w:r w:rsidRPr="00747AD1">
        <w:rPr>
          <w:rFonts w:asciiTheme="majorEastAsia" w:eastAsiaTheme="majorEastAsia" w:hAnsiTheme="majorEastAsia" w:hint="eastAsia"/>
        </w:rPr>
        <w:t>•后向兼容所有PSG信号发生器</w:t>
      </w:r>
    </w:p>
    <w:p w:rsidR="00B95EF7" w:rsidRDefault="00B95EF7" w:rsidP="00B95EF7">
      <w:pPr>
        <w:jc w:val="center"/>
        <w:rPr>
          <w:rFonts w:asciiTheme="majorEastAsia" w:eastAsiaTheme="majorEastAsia" w:hAnsiTheme="majorEastAsia" w:hint="eastAsia"/>
        </w:rPr>
      </w:pPr>
      <w:r>
        <w:rPr>
          <w:rFonts w:asciiTheme="majorEastAsia" w:eastAsiaTheme="majorEastAsia" w:hAnsiTheme="majorEastAsia"/>
          <w:noProof/>
        </w:rPr>
        <w:lastRenderedPageBreak/>
        <w:drawing>
          <wp:inline distT="0" distB="0" distL="0" distR="0">
            <wp:extent cx="6962775" cy="4028560"/>
            <wp:effectExtent l="19050" t="0" r="9525" b="0"/>
            <wp:docPr id="1" name="图片 1" descr="E:\网站建设\图片\PSG\phase n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网站建设\图片\PSG\phase noise.jpg"/>
                    <pic:cNvPicPr>
                      <a:picLocks noChangeAspect="1" noChangeArrowheads="1"/>
                    </pic:cNvPicPr>
                  </pic:nvPicPr>
                  <pic:blipFill>
                    <a:blip r:embed="rId6"/>
                    <a:srcRect/>
                    <a:stretch>
                      <a:fillRect/>
                    </a:stretch>
                  </pic:blipFill>
                  <pic:spPr bwMode="auto">
                    <a:xfrm>
                      <a:off x="0" y="0"/>
                      <a:ext cx="6969866" cy="4032663"/>
                    </a:xfrm>
                    <a:prstGeom prst="rect">
                      <a:avLst/>
                    </a:prstGeom>
                    <a:noFill/>
                    <a:ln w="9525">
                      <a:noFill/>
                      <a:miter lim="800000"/>
                      <a:headEnd/>
                      <a:tailEnd/>
                    </a:ln>
                  </pic:spPr>
                </pic:pic>
              </a:graphicData>
            </a:graphic>
          </wp:inline>
        </w:drawing>
      </w:r>
    </w:p>
    <w:p w:rsidR="00356382" w:rsidRDefault="00356382" w:rsidP="00356382">
      <w:pPr>
        <w:spacing w:beforeLines="100"/>
        <w:jc w:val="center"/>
        <w:rPr>
          <w:rFonts w:asciiTheme="majorEastAsia" w:eastAsiaTheme="majorEastAsia" w:hAnsiTheme="majorEastAsia" w:hint="eastAsia"/>
        </w:rPr>
      </w:pPr>
      <w:r>
        <w:rPr>
          <w:rFonts w:asciiTheme="majorEastAsia" w:eastAsiaTheme="majorEastAsia" w:hAnsiTheme="majorEastAsia" w:hint="eastAsia"/>
        </w:rPr>
        <w:t>安捷伦</w:t>
      </w:r>
      <w:r w:rsidRPr="00356382">
        <w:rPr>
          <w:rFonts w:asciiTheme="majorEastAsia" w:eastAsiaTheme="majorEastAsia" w:hAnsiTheme="majorEastAsia"/>
        </w:rPr>
        <w:t>E8257D PSG模拟信号发生器</w:t>
      </w:r>
      <w:r>
        <w:rPr>
          <w:rFonts w:asciiTheme="majorEastAsia" w:eastAsiaTheme="majorEastAsia" w:hAnsiTheme="majorEastAsia" w:hint="eastAsia"/>
        </w:rPr>
        <w:t>具有极高的相位噪声性能，上图为频率在10GHz时不同配置下的相位噪声指标的对比。</w:t>
      </w:r>
    </w:p>
    <w:p w:rsidR="00B95EF7" w:rsidRPr="00747AD1" w:rsidRDefault="00356382" w:rsidP="00356382">
      <w:pPr>
        <w:jc w:val="center"/>
        <w:rPr>
          <w:rFonts w:asciiTheme="majorEastAsia" w:eastAsiaTheme="majorEastAsia" w:hAnsiTheme="majorEastAsia"/>
        </w:rPr>
      </w:pPr>
      <w:r>
        <w:rPr>
          <w:rFonts w:asciiTheme="majorEastAsia" w:eastAsiaTheme="majorEastAsia" w:hAnsiTheme="majorEastAsia" w:hint="eastAsia"/>
        </w:rPr>
        <w:t>绿色曲线表示在极高相噪特性选件（UNY</w:t>
      </w:r>
      <w:r>
        <w:rPr>
          <w:rFonts w:asciiTheme="majorEastAsia" w:eastAsiaTheme="majorEastAsia" w:hAnsiTheme="majorEastAsia"/>
        </w:rPr>
        <w:t>）</w:t>
      </w:r>
      <w:r>
        <w:rPr>
          <w:rFonts w:asciiTheme="majorEastAsia" w:eastAsiaTheme="majorEastAsia" w:hAnsiTheme="majorEastAsia" w:hint="eastAsia"/>
        </w:rPr>
        <w:t>下的相噪指标，可以达到130dBc/Hz@10kHz,10GHz。</w:t>
      </w:r>
    </w:p>
    <w:sectPr w:rsidR="00B95EF7" w:rsidRPr="00747AD1" w:rsidSect="00747AD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E45" w:rsidRDefault="00C10E45" w:rsidP="0065407A">
      <w:r>
        <w:separator/>
      </w:r>
    </w:p>
  </w:endnote>
  <w:endnote w:type="continuationSeparator" w:id="1">
    <w:p w:rsidR="00C10E45" w:rsidRDefault="00C10E45" w:rsidP="006540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E45" w:rsidRDefault="00C10E45" w:rsidP="0065407A">
      <w:r>
        <w:separator/>
      </w:r>
    </w:p>
  </w:footnote>
  <w:footnote w:type="continuationSeparator" w:id="1">
    <w:p w:rsidR="00C10E45" w:rsidRDefault="00C10E45" w:rsidP="006540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07A"/>
    <w:rsid w:val="00356382"/>
    <w:rsid w:val="0065407A"/>
    <w:rsid w:val="00747AD1"/>
    <w:rsid w:val="00B95EF7"/>
    <w:rsid w:val="00C10E45"/>
    <w:rsid w:val="00EF69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0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07A"/>
    <w:rPr>
      <w:sz w:val="18"/>
      <w:szCs w:val="18"/>
    </w:rPr>
  </w:style>
  <w:style w:type="paragraph" w:styleId="a4">
    <w:name w:val="footer"/>
    <w:basedOn w:val="a"/>
    <w:link w:val="Char0"/>
    <w:uiPriority w:val="99"/>
    <w:semiHidden/>
    <w:unhideWhenUsed/>
    <w:rsid w:val="006540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407A"/>
    <w:rPr>
      <w:sz w:val="18"/>
      <w:szCs w:val="18"/>
    </w:rPr>
  </w:style>
  <w:style w:type="paragraph" w:styleId="a5">
    <w:name w:val="Balloon Text"/>
    <w:basedOn w:val="a"/>
    <w:link w:val="Char1"/>
    <w:uiPriority w:val="99"/>
    <w:semiHidden/>
    <w:unhideWhenUsed/>
    <w:rsid w:val="00B95EF7"/>
    <w:rPr>
      <w:sz w:val="18"/>
      <w:szCs w:val="18"/>
    </w:rPr>
  </w:style>
  <w:style w:type="character" w:customStyle="1" w:styleId="Char1">
    <w:name w:val="批注框文本 Char"/>
    <w:basedOn w:val="a0"/>
    <w:link w:val="a5"/>
    <w:uiPriority w:val="99"/>
    <w:semiHidden/>
    <w:rsid w:val="00B95EF7"/>
    <w:rPr>
      <w:sz w:val="18"/>
      <w:szCs w:val="18"/>
    </w:rPr>
  </w:style>
</w:styles>
</file>

<file path=word/webSettings.xml><?xml version="1.0" encoding="utf-8"?>
<w:webSettings xmlns:r="http://schemas.openxmlformats.org/officeDocument/2006/relationships" xmlns:w="http://schemas.openxmlformats.org/wordprocessingml/2006/main">
  <w:divs>
    <w:div w:id="559556250">
      <w:bodyDiv w:val="1"/>
      <w:marLeft w:val="0"/>
      <w:marRight w:val="0"/>
      <w:marTop w:val="0"/>
      <w:marBottom w:val="0"/>
      <w:divBdr>
        <w:top w:val="none" w:sz="0" w:space="0" w:color="auto"/>
        <w:left w:val="none" w:sz="0" w:space="0" w:color="auto"/>
        <w:bottom w:val="none" w:sz="0" w:space="0" w:color="auto"/>
        <w:right w:val="none" w:sz="0" w:space="0" w:color="auto"/>
      </w:divBdr>
      <w:divsChild>
        <w:div w:id="1381780649">
          <w:marLeft w:val="0"/>
          <w:marRight w:val="0"/>
          <w:marTop w:val="135"/>
          <w:marBottom w:val="135"/>
          <w:divBdr>
            <w:top w:val="none" w:sz="0" w:space="0" w:color="auto"/>
            <w:left w:val="none" w:sz="0" w:space="0" w:color="auto"/>
            <w:bottom w:val="none" w:sz="0" w:space="0" w:color="auto"/>
            <w:right w:val="none" w:sz="0" w:space="0" w:color="auto"/>
          </w:divBdr>
          <w:divsChild>
            <w:div w:id="733088097">
              <w:marLeft w:val="0"/>
              <w:marRight w:val="0"/>
              <w:marTop w:val="0"/>
              <w:marBottom w:val="0"/>
              <w:divBdr>
                <w:top w:val="none" w:sz="0" w:space="0" w:color="auto"/>
                <w:left w:val="none" w:sz="0" w:space="0" w:color="auto"/>
                <w:bottom w:val="none" w:sz="0" w:space="0" w:color="auto"/>
                <w:right w:val="none" w:sz="0" w:space="0" w:color="auto"/>
              </w:divBdr>
              <w:divsChild>
                <w:div w:id="90781190">
                  <w:marLeft w:val="0"/>
                  <w:marRight w:val="0"/>
                  <w:marTop w:val="0"/>
                  <w:marBottom w:val="0"/>
                  <w:divBdr>
                    <w:top w:val="none" w:sz="0" w:space="0" w:color="auto"/>
                    <w:left w:val="none" w:sz="0" w:space="0" w:color="auto"/>
                    <w:bottom w:val="none" w:sz="0" w:space="0" w:color="auto"/>
                    <w:right w:val="none" w:sz="0" w:space="0" w:color="auto"/>
                  </w:divBdr>
                  <w:divsChild>
                    <w:div w:id="1311907398">
                      <w:marLeft w:val="-7380"/>
                      <w:marRight w:val="-7380"/>
                      <w:marTop w:val="0"/>
                      <w:marBottom w:val="0"/>
                      <w:divBdr>
                        <w:top w:val="none" w:sz="0" w:space="0" w:color="auto"/>
                        <w:left w:val="none" w:sz="0" w:space="0" w:color="auto"/>
                        <w:bottom w:val="none" w:sz="0" w:space="0" w:color="auto"/>
                        <w:right w:val="none" w:sz="0" w:space="0" w:color="auto"/>
                      </w:divBdr>
                      <w:divsChild>
                        <w:div w:id="1463184026">
                          <w:marLeft w:val="0"/>
                          <w:marRight w:val="0"/>
                          <w:marTop w:val="0"/>
                          <w:marBottom w:val="0"/>
                          <w:divBdr>
                            <w:top w:val="none" w:sz="0" w:space="0" w:color="auto"/>
                            <w:left w:val="none" w:sz="0" w:space="0" w:color="auto"/>
                            <w:bottom w:val="none" w:sz="0" w:space="0" w:color="auto"/>
                            <w:right w:val="none" w:sz="0" w:space="0" w:color="auto"/>
                          </w:divBdr>
                          <w:divsChild>
                            <w:div w:id="199631860">
                              <w:marLeft w:val="0"/>
                              <w:marRight w:val="0"/>
                              <w:marTop w:val="0"/>
                              <w:marBottom w:val="120"/>
                              <w:divBdr>
                                <w:top w:val="none" w:sz="0" w:space="0" w:color="auto"/>
                                <w:left w:val="none" w:sz="0" w:space="0" w:color="auto"/>
                                <w:bottom w:val="none" w:sz="0" w:space="0" w:color="auto"/>
                                <w:right w:val="none" w:sz="0" w:space="0" w:color="auto"/>
                              </w:divBdr>
                              <w:divsChild>
                                <w:div w:id="2101755105">
                                  <w:marLeft w:val="0"/>
                                  <w:marRight w:val="0"/>
                                  <w:marTop w:val="0"/>
                                  <w:marBottom w:val="0"/>
                                  <w:divBdr>
                                    <w:top w:val="none" w:sz="0" w:space="0" w:color="auto"/>
                                    <w:left w:val="none" w:sz="0" w:space="0" w:color="auto"/>
                                    <w:bottom w:val="none" w:sz="0" w:space="0" w:color="auto"/>
                                    <w:right w:val="none" w:sz="0" w:space="0" w:color="auto"/>
                                  </w:divBdr>
                                  <w:divsChild>
                                    <w:div w:id="425425862">
                                      <w:marLeft w:val="0"/>
                                      <w:marRight w:val="0"/>
                                      <w:marTop w:val="0"/>
                                      <w:marBottom w:val="375"/>
                                      <w:divBdr>
                                        <w:top w:val="single" w:sz="6" w:space="8" w:color="C4C4C4"/>
                                        <w:left w:val="single" w:sz="6" w:space="8" w:color="C4C4C4"/>
                                        <w:bottom w:val="single" w:sz="6" w:space="8" w:color="C4C4C4"/>
                                        <w:right w:val="single" w:sz="6" w:space="8" w:color="C4C4C4"/>
                                      </w:divBdr>
                                      <w:divsChild>
                                        <w:div w:id="163541032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713383">
      <w:bodyDiv w:val="1"/>
      <w:marLeft w:val="0"/>
      <w:marRight w:val="0"/>
      <w:marTop w:val="0"/>
      <w:marBottom w:val="0"/>
      <w:divBdr>
        <w:top w:val="none" w:sz="0" w:space="0" w:color="auto"/>
        <w:left w:val="none" w:sz="0" w:space="0" w:color="auto"/>
        <w:bottom w:val="none" w:sz="0" w:space="0" w:color="auto"/>
        <w:right w:val="none" w:sz="0" w:space="0" w:color="auto"/>
      </w:divBdr>
      <w:divsChild>
        <w:div w:id="639846356">
          <w:marLeft w:val="0"/>
          <w:marRight w:val="0"/>
          <w:marTop w:val="135"/>
          <w:marBottom w:val="135"/>
          <w:divBdr>
            <w:top w:val="none" w:sz="0" w:space="0" w:color="auto"/>
            <w:left w:val="none" w:sz="0" w:space="0" w:color="auto"/>
            <w:bottom w:val="none" w:sz="0" w:space="0" w:color="auto"/>
            <w:right w:val="none" w:sz="0" w:space="0" w:color="auto"/>
          </w:divBdr>
          <w:divsChild>
            <w:div w:id="1905598404">
              <w:marLeft w:val="0"/>
              <w:marRight w:val="0"/>
              <w:marTop w:val="0"/>
              <w:marBottom w:val="0"/>
              <w:divBdr>
                <w:top w:val="none" w:sz="0" w:space="0" w:color="auto"/>
                <w:left w:val="none" w:sz="0" w:space="0" w:color="auto"/>
                <w:bottom w:val="none" w:sz="0" w:space="0" w:color="auto"/>
                <w:right w:val="none" w:sz="0" w:space="0" w:color="auto"/>
              </w:divBdr>
              <w:divsChild>
                <w:div w:id="1507330218">
                  <w:marLeft w:val="0"/>
                  <w:marRight w:val="0"/>
                  <w:marTop w:val="0"/>
                  <w:marBottom w:val="0"/>
                  <w:divBdr>
                    <w:top w:val="none" w:sz="0" w:space="0" w:color="auto"/>
                    <w:left w:val="none" w:sz="0" w:space="0" w:color="auto"/>
                    <w:bottom w:val="none" w:sz="0" w:space="0" w:color="auto"/>
                    <w:right w:val="none" w:sz="0" w:space="0" w:color="auto"/>
                  </w:divBdr>
                  <w:divsChild>
                    <w:div w:id="1197229720">
                      <w:marLeft w:val="-7380"/>
                      <w:marRight w:val="-7380"/>
                      <w:marTop w:val="0"/>
                      <w:marBottom w:val="0"/>
                      <w:divBdr>
                        <w:top w:val="none" w:sz="0" w:space="0" w:color="auto"/>
                        <w:left w:val="none" w:sz="0" w:space="0" w:color="auto"/>
                        <w:bottom w:val="none" w:sz="0" w:space="0" w:color="auto"/>
                        <w:right w:val="none" w:sz="0" w:space="0" w:color="auto"/>
                      </w:divBdr>
                      <w:divsChild>
                        <w:div w:id="544802868">
                          <w:marLeft w:val="0"/>
                          <w:marRight w:val="0"/>
                          <w:marTop w:val="0"/>
                          <w:marBottom w:val="0"/>
                          <w:divBdr>
                            <w:top w:val="none" w:sz="0" w:space="0" w:color="auto"/>
                            <w:left w:val="none" w:sz="0" w:space="0" w:color="auto"/>
                            <w:bottom w:val="none" w:sz="0" w:space="0" w:color="auto"/>
                            <w:right w:val="none" w:sz="0" w:space="0" w:color="auto"/>
                          </w:divBdr>
                          <w:divsChild>
                            <w:div w:id="590772987">
                              <w:marLeft w:val="0"/>
                              <w:marRight w:val="0"/>
                              <w:marTop w:val="0"/>
                              <w:marBottom w:val="120"/>
                              <w:divBdr>
                                <w:top w:val="none" w:sz="0" w:space="0" w:color="auto"/>
                                <w:left w:val="none" w:sz="0" w:space="0" w:color="auto"/>
                                <w:bottom w:val="none" w:sz="0" w:space="0" w:color="auto"/>
                                <w:right w:val="none" w:sz="0" w:space="0" w:color="auto"/>
                              </w:divBdr>
                              <w:divsChild>
                                <w:div w:id="2079401614">
                                  <w:marLeft w:val="0"/>
                                  <w:marRight w:val="0"/>
                                  <w:marTop w:val="0"/>
                                  <w:marBottom w:val="0"/>
                                  <w:divBdr>
                                    <w:top w:val="none" w:sz="0" w:space="0" w:color="auto"/>
                                    <w:left w:val="none" w:sz="0" w:space="0" w:color="auto"/>
                                    <w:bottom w:val="none" w:sz="0" w:space="0" w:color="auto"/>
                                    <w:right w:val="none" w:sz="0" w:space="0" w:color="auto"/>
                                  </w:divBdr>
                                  <w:divsChild>
                                    <w:div w:id="782774095">
                                      <w:marLeft w:val="0"/>
                                      <w:marRight w:val="0"/>
                                      <w:marTop w:val="0"/>
                                      <w:marBottom w:val="375"/>
                                      <w:divBdr>
                                        <w:top w:val="single" w:sz="6" w:space="8" w:color="C4C4C4"/>
                                        <w:left w:val="single" w:sz="6" w:space="8" w:color="C4C4C4"/>
                                        <w:bottom w:val="single" w:sz="6" w:space="8" w:color="C4C4C4"/>
                                        <w:right w:val="single" w:sz="6" w:space="8" w:color="C4C4C4"/>
                                      </w:divBdr>
                                      <w:divsChild>
                                        <w:div w:id="6766626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gsg</dc:creator>
  <cp:keywords/>
  <dc:description/>
  <cp:lastModifiedBy>gsg</cp:lastModifiedBy>
  <cp:revision>4</cp:revision>
  <dcterms:created xsi:type="dcterms:W3CDTF">2011-10-28T13:29:00Z</dcterms:created>
  <dcterms:modified xsi:type="dcterms:W3CDTF">2011-10-28T14:13:00Z</dcterms:modified>
</cp:coreProperties>
</file>